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89B" w:rsidRPr="003D27D2" w:rsidRDefault="00804E8D" w:rsidP="00D6589B">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3D27D2">
        <w:rPr>
          <w:rFonts w:ascii="Arial" w:hAnsi="Arial" w:cs="Arial"/>
          <w:sz w:val="22"/>
          <w:szCs w:val="22"/>
        </w:rPr>
        <w:t>Australia's federal structure requires intergovernmental engagement as more than 43% of Queensland Government revenue in 2013-14 came from Federal Government payments</w:t>
      </w:r>
      <w:r w:rsidR="00D6589B" w:rsidRPr="003D27D2">
        <w:rPr>
          <w:rFonts w:ascii="Arial" w:hAnsi="Arial" w:cs="Arial"/>
          <w:bCs/>
          <w:spacing w:val="-3"/>
          <w:sz w:val="22"/>
          <w:szCs w:val="22"/>
        </w:rPr>
        <w:t>.</w:t>
      </w:r>
    </w:p>
    <w:p w:rsidR="008A29E1" w:rsidRPr="003D27D2" w:rsidRDefault="008A29E1" w:rsidP="003D27D2">
      <w:pPr>
        <w:numPr>
          <w:ilvl w:val="0"/>
          <w:numId w:val="1"/>
        </w:numPr>
        <w:tabs>
          <w:tab w:val="clear" w:pos="720"/>
          <w:tab w:val="num" w:pos="360"/>
        </w:tabs>
        <w:spacing w:before="240"/>
        <w:ind w:left="360"/>
        <w:jc w:val="both"/>
        <w:rPr>
          <w:rFonts w:ascii="Arial" w:hAnsi="Arial" w:cs="Arial"/>
          <w:sz w:val="22"/>
          <w:szCs w:val="22"/>
        </w:rPr>
      </w:pPr>
      <w:r w:rsidRPr="003D27D2">
        <w:rPr>
          <w:rFonts w:ascii="Arial" w:hAnsi="Arial" w:cs="Arial"/>
          <w:sz w:val="22"/>
          <w:szCs w:val="22"/>
        </w:rPr>
        <w:t xml:space="preserve">Most current intergovernmental activity takes place through the Council of Australian Governments (COAG), which is dominated by the priorities of the Federal Government. </w:t>
      </w:r>
    </w:p>
    <w:p w:rsidR="008A29E1" w:rsidRDefault="003D27D2" w:rsidP="003D27D2">
      <w:pPr>
        <w:numPr>
          <w:ilvl w:val="0"/>
          <w:numId w:val="1"/>
        </w:numPr>
        <w:tabs>
          <w:tab w:val="clear" w:pos="720"/>
          <w:tab w:val="num" w:pos="360"/>
        </w:tabs>
        <w:spacing w:before="240"/>
        <w:ind w:left="360"/>
        <w:jc w:val="both"/>
        <w:rPr>
          <w:rFonts w:ascii="Arial" w:hAnsi="Arial" w:cs="Arial"/>
          <w:sz w:val="22"/>
          <w:szCs w:val="22"/>
        </w:rPr>
      </w:pPr>
      <w:r>
        <w:rPr>
          <w:rFonts w:ascii="Arial" w:hAnsi="Arial" w:cs="Arial"/>
          <w:sz w:val="22"/>
          <w:szCs w:val="22"/>
        </w:rPr>
        <w:t>Intergovernmental activities are all activities involving international governments, the Federal Government, other Australian state/territory governments, including but not limited to:</w:t>
      </w:r>
    </w:p>
    <w:p w:rsidR="003D27D2" w:rsidRPr="00AC4B6E" w:rsidRDefault="003D27D2" w:rsidP="005873D8">
      <w:pPr>
        <w:pStyle w:val="ListParagraph"/>
        <w:numPr>
          <w:ilvl w:val="0"/>
          <w:numId w:val="4"/>
        </w:numPr>
        <w:spacing w:before="120"/>
        <w:ind w:left="714" w:hanging="357"/>
        <w:contextualSpacing w:val="0"/>
        <w:jc w:val="both"/>
        <w:rPr>
          <w:rFonts w:ascii="Arial" w:hAnsi="Arial" w:cs="Arial"/>
          <w:sz w:val="22"/>
          <w:szCs w:val="22"/>
          <w:lang w:val="en-US"/>
        </w:rPr>
      </w:pPr>
      <w:r w:rsidRPr="00AC4B6E">
        <w:rPr>
          <w:rFonts w:ascii="Arial" w:hAnsi="Arial" w:cs="Arial"/>
          <w:sz w:val="22"/>
          <w:szCs w:val="22"/>
          <w:lang w:val="en-US"/>
        </w:rPr>
        <w:t>Council of Australian Governments (COAG), Council for the Australian Federation and their officials</w:t>
      </w:r>
    </w:p>
    <w:p w:rsidR="003D27D2" w:rsidRPr="00AC4B6E" w:rsidRDefault="003D27D2" w:rsidP="005873D8">
      <w:pPr>
        <w:pStyle w:val="ListParagraph"/>
        <w:numPr>
          <w:ilvl w:val="0"/>
          <w:numId w:val="4"/>
        </w:numPr>
        <w:spacing w:before="120"/>
        <w:ind w:left="714" w:hanging="357"/>
        <w:contextualSpacing w:val="0"/>
        <w:jc w:val="both"/>
        <w:rPr>
          <w:rFonts w:ascii="Arial" w:hAnsi="Arial" w:cs="Arial"/>
          <w:sz w:val="22"/>
          <w:szCs w:val="22"/>
          <w:lang w:val="en-US"/>
        </w:rPr>
      </w:pPr>
      <w:r w:rsidRPr="00AC4B6E">
        <w:rPr>
          <w:rFonts w:ascii="Arial" w:hAnsi="Arial" w:cs="Arial"/>
          <w:sz w:val="22"/>
          <w:szCs w:val="22"/>
          <w:lang w:val="en-US"/>
        </w:rPr>
        <w:t>COAG councils and other Ministerial councils</w:t>
      </w:r>
    </w:p>
    <w:p w:rsidR="00AC4B6E" w:rsidRPr="00AC4B6E" w:rsidRDefault="003D27D2" w:rsidP="005873D8">
      <w:pPr>
        <w:pStyle w:val="ListParagraph"/>
        <w:numPr>
          <w:ilvl w:val="0"/>
          <w:numId w:val="4"/>
        </w:numPr>
        <w:spacing w:before="120"/>
        <w:ind w:left="714" w:hanging="357"/>
        <w:contextualSpacing w:val="0"/>
        <w:jc w:val="both"/>
        <w:rPr>
          <w:rFonts w:ascii="Arial" w:hAnsi="Arial" w:cs="Arial"/>
          <w:sz w:val="22"/>
          <w:szCs w:val="22"/>
        </w:rPr>
      </w:pPr>
      <w:r w:rsidRPr="00AC4B6E">
        <w:rPr>
          <w:rFonts w:ascii="Arial" w:hAnsi="Arial" w:cs="Arial"/>
          <w:sz w:val="22"/>
          <w:szCs w:val="22"/>
          <w:lang w:val="en-US"/>
        </w:rPr>
        <w:t>all intergovernmental agreements (IGAs), including funding agreements made under the</w:t>
      </w:r>
      <w:r w:rsidRPr="00AC4B6E">
        <w:rPr>
          <w:rFonts w:ascii="Arial" w:hAnsi="Arial" w:cs="Arial"/>
          <w:i/>
          <w:sz w:val="22"/>
          <w:szCs w:val="22"/>
          <w:lang w:val="en-US"/>
        </w:rPr>
        <w:t xml:space="preserve"> Intergovernmental Agreement on Federal Financial Relations </w:t>
      </w:r>
      <w:r w:rsidRPr="00AC4B6E">
        <w:rPr>
          <w:rFonts w:ascii="Arial" w:hAnsi="Arial" w:cs="Arial"/>
          <w:sz w:val="22"/>
          <w:szCs w:val="22"/>
          <w:lang w:val="en-US"/>
        </w:rPr>
        <w:t>(for example, national partnership agreements, project agreements) and non- funding agreements (for example, IGAs providing policy direction agreed by ministerial councils; international memoranda of understanding)</w:t>
      </w:r>
      <w:r w:rsidR="00AC4B6E">
        <w:rPr>
          <w:rFonts w:ascii="Arial" w:hAnsi="Arial" w:cs="Arial"/>
          <w:sz w:val="22"/>
          <w:szCs w:val="22"/>
          <w:lang w:val="en-US"/>
        </w:rPr>
        <w:t xml:space="preserve"> </w:t>
      </w:r>
    </w:p>
    <w:p w:rsidR="008802B3" w:rsidRPr="008802B3" w:rsidRDefault="00AC4B6E" w:rsidP="005873D8">
      <w:pPr>
        <w:pStyle w:val="ListParagraph"/>
        <w:numPr>
          <w:ilvl w:val="0"/>
          <w:numId w:val="4"/>
        </w:numPr>
        <w:spacing w:before="120"/>
        <w:ind w:left="714" w:hanging="357"/>
        <w:contextualSpacing w:val="0"/>
        <w:jc w:val="both"/>
        <w:rPr>
          <w:rFonts w:ascii="Arial" w:hAnsi="Arial" w:cs="Arial"/>
          <w:sz w:val="22"/>
          <w:szCs w:val="22"/>
          <w:lang w:val="en-US"/>
        </w:rPr>
      </w:pPr>
      <w:r>
        <w:rPr>
          <w:rFonts w:ascii="Arial" w:hAnsi="Arial" w:cs="Arial"/>
          <w:sz w:val="22"/>
          <w:szCs w:val="22"/>
          <w:lang w:val="en-US"/>
        </w:rPr>
        <w:t>o</w:t>
      </w:r>
      <w:r w:rsidRPr="00AC4B6E">
        <w:rPr>
          <w:rFonts w:ascii="Arial" w:hAnsi="Arial" w:cs="Arial"/>
          <w:sz w:val="22"/>
          <w:szCs w:val="22"/>
          <w:lang w:val="en-US"/>
        </w:rPr>
        <w:t>ther official engagements with Commonwealth Government agencies, state/territory government agencies, including participation in committees and working groups</w:t>
      </w:r>
      <w:r>
        <w:rPr>
          <w:rFonts w:ascii="Arial" w:hAnsi="Arial" w:cs="Arial"/>
          <w:sz w:val="22"/>
          <w:szCs w:val="22"/>
          <w:lang w:val="en-US"/>
        </w:rPr>
        <w:t>.</w:t>
      </w:r>
      <w:r w:rsidR="008802B3" w:rsidRPr="008802B3">
        <w:t xml:space="preserve"> </w:t>
      </w:r>
    </w:p>
    <w:p w:rsidR="008A29E1" w:rsidRPr="008802B3" w:rsidRDefault="008802B3" w:rsidP="008802B3">
      <w:pPr>
        <w:numPr>
          <w:ilvl w:val="0"/>
          <w:numId w:val="1"/>
        </w:numPr>
        <w:tabs>
          <w:tab w:val="clear" w:pos="720"/>
          <w:tab w:val="num" w:pos="360"/>
        </w:tabs>
        <w:spacing w:before="240"/>
        <w:ind w:left="360"/>
        <w:jc w:val="both"/>
        <w:rPr>
          <w:rFonts w:ascii="Arial" w:hAnsi="Arial" w:cs="Arial"/>
          <w:sz w:val="22"/>
          <w:szCs w:val="22"/>
        </w:rPr>
      </w:pPr>
      <w:r w:rsidRPr="008802B3">
        <w:rPr>
          <w:rFonts w:ascii="Arial" w:hAnsi="Arial" w:cs="Arial"/>
          <w:sz w:val="22"/>
          <w:szCs w:val="22"/>
          <w:lang w:val="en-US"/>
        </w:rPr>
        <w:t>The Queensland Government’s principles are underpinned by a desire to improve the well-being of Queenslanders, preserve Queensland’s constitutional roles and responsibilities, and through its intergovernmental activities support the government’s desire to work with the private and not-for-profit sectors to deliver better service delivery outcomes. Participation in all intergovernmental activities will be assessed within this context. The principles can be used to guide assessment of continued participation in current intergovernmental activities as well as future activities.</w:t>
      </w:r>
    </w:p>
    <w:p w:rsidR="008802B3" w:rsidRPr="008802B3" w:rsidRDefault="008802B3" w:rsidP="008802B3">
      <w:pPr>
        <w:numPr>
          <w:ilvl w:val="0"/>
          <w:numId w:val="1"/>
        </w:numPr>
        <w:tabs>
          <w:tab w:val="clear" w:pos="720"/>
          <w:tab w:val="num" w:pos="360"/>
        </w:tabs>
        <w:spacing w:before="240"/>
        <w:ind w:left="360"/>
        <w:jc w:val="both"/>
        <w:rPr>
          <w:rFonts w:ascii="Arial" w:hAnsi="Arial" w:cs="Arial"/>
          <w:sz w:val="22"/>
          <w:szCs w:val="22"/>
        </w:rPr>
      </w:pPr>
      <w:r w:rsidRPr="008802B3">
        <w:rPr>
          <w:rFonts w:ascii="Arial" w:hAnsi="Arial" w:cs="Arial"/>
          <w:sz w:val="22"/>
          <w:szCs w:val="22"/>
          <w:u w:val="single"/>
          <w:lang w:val="en-US"/>
        </w:rPr>
        <w:t>Cabinet approved</w:t>
      </w:r>
      <w:r>
        <w:rPr>
          <w:rFonts w:ascii="Arial" w:hAnsi="Arial" w:cs="Arial"/>
          <w:sz w:val="22"/>
          <w:szCs w:val="22"/>
          <w:lang w:val="en-US"/>
        </w:rPr>
        <w:t xml:space="preserve"> the Queensland Government principles for engagement in intergovernmental activities.</w:t>
      </w:r>
    </w:p>
    <w:p w:rsidR="008802B3" w:rsidRPr="008802B3" w:rsidRDefault="008802B3" w:rsidP="005873D8">
      <w:pPr>
        <w:numPr>
          <w:ilvl w:val="0"/>
          <w:numId w:val="1"/>
        </w:numPr>
        <w:tabs>
          <w:tab w:val="clear" w:pos="720"/>
          <w:tab w:val="num" w:pos="360"/>
        </w:tabs>
        <w:spacing w:before="360"/>
        <w:ind w:left="360"/>
        <w:jc w:val="both"/>
        <w:rPr>
          <w:rFonts w:ascii="Arial" w:hAnsi="Arial" w:cs="Arial"/>
          <w:sz w:val="22"/>
          <w:szCs w:val="22"/>
        </w:rPr>
      </w:pPr>
      <w:r w:rsidRPr="008802B3">
        <w:rPr>
          <w:rFonts w:ascii="Arial" w:hAnsi="Arial" w:cs="Arial"/>
          <w:i/>
          <w:sz w:val="22"/>
          <w:szCs w:val="22"/>
          <w:u w:val="single"/>
          <w:lang w:val="en-US"/>
        </w:rPr>
        <w:t>Attachment</w:t>
      </w:r>
    </w:p>
    <w:p w:rsidR="008802B3" w:rsidRPr="00296E3C" w:rsidRDefault="000038EE" w:rsidP="00296E3C">
      <w:pPr>
        <w:pStyle w:val="ListParagraph"/>
        <w:numPr>
          <w:ilvl w:val="0"/>
          <w:numId w:val="5"/>
        </w:numPr>
        <w:spacing w:before="120"/>
        <w:jc w:val="both"/>
        <w:rPr>
          <w:rFonts w:ascii="Arial" w:hAnsi="Arial" w:cs="Arial"/>
          <w:sz w:val="22"/>
          <w:szCs w:val="22"/>
        </w:rPr>
      </w:pPr>
      <w:hyperlink r:id="rId10" w:history="1">
        <w:r w:rsidR="008802B3" w:rsidRPr="003B0656">
          <w:rPr>
            <w:rStyle w:val="Hyperlink"/>
            <w:rFonts w:ascii="Arial" w:hAnsi="Arial" w:cs="Arial"/>
            <w:sz w:val="22"/>
            <w:szCs w:val="22"/>
          </w:rPr>
          <w:t>Queensland Government Principles f</w:t>
        </w:r>
        <w:r w:rsidR="00296E3C" w:rsidRPr="003B0656">
          <w:rPr>
            <w:rStyle w:val="Hyperlink"/>
            <w:rFonts w:ascii="Arial" w:hAnsi="Arial" w:cs="Arial"/>
            <w:sz w:val="22"/>
            <w:szCs w:val="22"/>
          </w:rPr>
          <w:t>or Intergovernmental Activities</w:t>
        </w:r>
      </w:hyperlink>
    </w:p>
    <w:sectPr w:rsidR="008802B3" w:rsidRPr="00296E3C" w:rsidSect="00296E3C">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7A4" w:rsidRDefault="009A07A4" w:rsidP="00D6589B">
      <w:r>
        <w:separator/>
      </w:r>
    </w:p>
  </w:endnote>
  <w:endnote w:type="continuationSeparator" w:id="0">
    <w:p w:rsidR="009A07A4" w:rsidRDefault="009A07A4"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7A4" w:rsidRDefault="009A07A4" w:rsidP="00D6589B">
      <w:r>
        <w:separator/>
      </w:r>
    </w:p>
  </w:footnote>
  <w:footnote w:type="continuationSeparator" w:id="0">
    <w:p w:rsidR="009A07A4" w:rsidRDefault="009A07A4"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804E8D">
      <w:rPr>
        <w:rFonts w:ascii="Arial" w:hAnsi="Arial" w:cs="Arial"/>
        <w:b/>
        <w:color w:val="auto"/>
        <w:sz w:val="22"/>
        <w:szCs w:val="22"/>
        <w:lang w:eastAsia="en-US"/>
      </w:rPr>
      <w:t>April 2015</w:t>
    </w:r>
  </w:p>
  <w:p w:rsidR="00CB1501" w:rsidRDefault="003B0656" w:rsidP="00D6589B">
    <w:pPr>
      <w:pStyle w:val="Header"/>
      <w:spacing w:before="120"/>
      <w:rPr>
        <w:rFonts w:ascii="Arial" w:hAnsi="Arial" w:cs="Arial"/>
        <w:b/>
        <w:sz w:val="22"/>
        <w:szCs w:val="22"/>
        <w:u w:val="single"/>
      </w:rPr>
    </w:pPr>
    <w:r w:rsidRPr="003B0656">
      <w:rPr>
        <w:rFonts w:ascii="Arial" w:hAnsi="Arial" w:cs="Arial"/>
        <w:b/>
        <w:sz w:val="22"/>
        <w:szCs w:val="22"/>
        <w:u w:val="single"/>
        <w:lang w:val="en-US"/>
      </w:rPr>
      <w:t>Queensland Government principles for engagement in intergovernmental activities</w:t>
    </w:r>
  </w:p>
  <w:p w:rsidR="00CB1501" w:rsidRDefault="00804E8D" w:rsidP="00D6589B">
    <w:pPr>
      <w:pStyle w:val="Header"/>
      <w:spacing w:before="120"/>
      <w:rPr>
        <w:rFonts w:ascii="Arial" w:hAnsi="Arial" w:cs="Arial"/>
        <w:b/>
        <w:sz w:val="22"/>
        <w:szCs w:val="22"/>
        <w:u w:val="single"/>
      </w:rPr>
    </w:pPr>
    <w:r>
      <w:rPr>
        <w:rFonts w:ascii="Arial" w:hAnsi="Arial" w:cs="Arial"/>
        <w:b/>
        <w:sz w:val="22"/>
        <w:szCs w:val="22"/>
        <w:u w:val="single"/>
      </w:rPr>
      <w:t>Premier and Minister for the Arts</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D3F38"/>
    <w:multiLevelType w:val="hybridMultilevel"/>
    <w:tmpl w:val="02F23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775122B"/>
    <w:multiLevelType w:val="hybridMultilevel"/>
    <w:tmpl w:val="4F74A702"/>
    <w:lvl w:ilvl="0" w:tplc="65ACEC26">
      <w:start w:val="1"/>
      <w:numFmt w:val="bullet"/>
      <w:lvlText w:val="•"/>
      <w:lvlJc w:val="left"/>
      <w:pPr>
        <w:ind w:hanging="171"/>
      </w:pPr>
      <w:rPr>
        <w:rFonts w:ascii="Arial" w:eastAsia="Arial" w:hAnsi="Arial" w:hint="default"/>
        <w:w w:val="146"/>
        <w:sz w:val="19"/>
        <w:szCs w:val="19"/>
      </w:rPr>
    </w:lvl>
    <w:lvl w:ilvl="1" w:tplc="108872EC">
      <w:start w:val="1"/>
      <w:numFmt w:val="bullet"/>
      <w:lvlText w:val="–"/>
      <w:lvlJc w:val="left"/>
      <w:pPr>
        <w:ind w:hanging="171"/>
      </w:pPr>
      <w:rPr>
        <w:rFonts w:ascii="Arial" w:eastAsia="Arial" w:hAnsi="Arial" w:hint="default"/>
        <w:b/>
        <w:bCs/>
        <w:w w:val="97"/>
        <w:sz w:val="19"/>
        <w:szCs w:val="19"/>
      </w:rPr>
    </w:lvl>
    <w:lvl w:ilvl="2" w:tplc="2398E124">
      <w:start w:val="1"/>
      <w:numFmt w:val="bullet"/>
      <w:lvlText w:val="•"/>
      <w:lvlJc w:val="left"/>
      <w:rPr>
        <w:rFonts w:hint="default"/>
      </w:rPr>
    </w:lvl>
    <w:lvl w:ilvl="3" w:tplc="A47234D4">
      <w:start w:val="1"/>
      <w:numFmt w:val="bullet"/>
      <w:lvlText w:val="•"/>
      <w:lvlJc w:val="left"/>
      <w:rPr>
        <w:rFonts w:hint="default"/>
      </w:rPr>
    </w:lvl>
    <w:lvl w:ilvl="4" w:tplc="FDFC332A">
      <w:start w:val="1"/>
      <w:numFmt w:val="bullet"/>
      <w:lvlText w:val="•"/>
      <w:lvlJc w:val="left"/>
      <w:rPr>
        <w:rFonts w:hint="default"/>
      </w:rPr>
    </w:lvl>
    <w:lvl w:ilvl="5" w:tplc="568A4856">
      <w:start w:val="1"/>
      <w:numFmt w:val="bullet"/>
      <w:lvlText w:val="•"/>
      <w:lvlJc w:val="left"/>
      <w:rPr>
        <w:rFonts w:hint="default"/>
      </w:rPr>
    </w:lvl>
    <w:lvl w:ilvl="6" w:tplc="8BCC9E30">
      <w:start w:val="1"/>
      <w:numFmt w:val="bullet"/>
      <w:lvlText w:val="•"/>
      <w:lvlJc w:val="left"/>
      <w:rPr>
        <w:rFonts w:hint="default"/>
      </w:rPr>
    </w:lvl>
    <w:lvl w:ilvl="7" w:tplc="1430B67C">
      <w:start w:val="1"/>
      <w:numFmt w:val="bullet"/>
      <w:lvlText w:val="•"/>
      <w:lvlJc w:val="left"/>
      <w:rPr>
        <w:rFonts w:hint="default"/>
      </w:rPr>
    </w:lvl>
    <w:lvl w:ilvl="8" w:tplc="3156F918">
      <w:start w:val="1"/>
      <w:numFmt w:val="bullet"/>
      <w:lvlText w:val="•"/>
      <w:lvlJc w:val="left"/>
      <w:rPr>
        <w:rFonts w:hint="default"/>
      </w:rPr>
    </w:lvl>
  </w:abstractNum>
  <w:abstractNum w:abstractNumId="2" w15:restartNumberingAfterBreak="0">
    <w:nsid w:val="54144CBC"/>
    <w:multiLevelType w:val="hybridMultilevel"/>
    <w:tmpl w:val="22102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D7F"/>
    <w:rsid w:val="000038EE"/>
    <w:rsid w:val="00080F8F"/>
    <w:rsid w:val="000D4A5A"/>
    <w:rsid w:val="0010384C"/>
    <w:rsid w:val="00152095"/>
    <w:rsid w:val="00174117"/>
    <w:rsid w:val="001A0B0D"/>
    <w:rsid w:val="00286C19"/>
    <w:rsid w:val="00296E3C"/>
    <w:rsid w:val="00320EF6"/>
    <w:rsid w:val="003308D1"/>
    <w:rsid w:val="003A3BDD"/>
    <w:rsid w:val="003B0656"/>
    <w:rsid w:val="003D27D2"/>
    <w:rsid w:val="004323BA"/>
    <w:rsid w:val="0043543B"/>
    <w:rsid w:val="00490231"/>
    <w:rsid w:val="00501C66"/>
    <w:rsid w:val="00550873"/>
    <w:rsid w:val="005873D8"/>
    <w:rsid w:val="00625BD5"/>
    <w:rsid w:val="00695C7D"/>
    <w:rsid w:val="006D4866"/>
    <w:rsid w:val="007265D0"/>
    <w:rsid w:val="00732E22"/>
    <w:rsid w:val="00741C20"/>
    <w:rsid w:val="007F44F4"/>
    <w:rsid w:val="00804E8D"/>
    <w:rsid w:val="008802B3"/>
    <w:rsid w:val="008A29E1"/>
    <w:rsid w:val="00904077"/>
    <w:rsid w:val="00937A4A"/>
    <w:rsid w:val="009825D3"/>
    <w:rsid w:val="009A07A4"/>
    <w:rsid w:val="00AC4B6E"/>
    <w:rsid w:val="00B95A06"/>
    <w:rsid w:val="00BD2D7F"/>
    <w:rsid w:val="00C041ED"/>
    <w:rsid w:val="00C4008F"/>
    <w:rsid w:val="00C652D5"/>
    <w:rsid w:val="00C75E67"/>
    <w:rsid w:val="00C85839"/>
    <w:rsid w:val="00CA53CF"/>
    <w:rsid w:val="00CB1501"/>
    <w:rsid w:val="00CD7A50"/>
    <w:rsid w:val="00CF022F"/>
    <w:rsid w:val="00CF0D8A"/>
    <w:rsid w:val="00D6589B"/>
    <w:rsid w:val="00EC4472"/>
    <w:rsid w:val="00EF0C07"/>
    <w:rsid w:val="00F24A8A"/>
    <w:rsid w:val="00F45B99"/>
    <w:rsid w:val="00F94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BodyText">
    <w:name w:val="Body Text"/>
    <w:basedOn w:val="Normal"/>
    <w:link w:val="BodyTextChar"/>
    <w:uiPriority w:val="1"/>
    <w:qFormat/>
    <w:rsid w:val="008A29E1"/>
    <w:pPr>
      <w:widowControl w:val="0"/>
      <w:ind w:left="287" w:hanging="171"/>
    </w:pPr>
    <w:rPr>
      <w:rFonts w:ascii="Arial" w:eastAsia="Arial" w:hAnsi="Arial"/>
      <w:color w:val="auto"/>
      <w:sz w:val="19"/>
      <w:szCs w:val="19"/>
      <w:lang w:val="en-US" w:eastAsia="en-US"/>
    </w:rPr>
  </w:style>
  <w:style w:type="character" w:customStyle="1" w:styleId="BodyTextChar">
    <w:name w:val="Body Text Char"/>
    <w:link w:val="BodyText"/>
    <w:uiPriority w:val="1"/>
    <w:rsid w:val="008A29E1"/>
    <w:rPr>
      <w:rFonts w:ascii="Arial" w:eastAsia="Arial" w:hAnsi="Arial" w:cs="Times New Roman"/>
      <w:sz w:val="19"/>
      <w:szCs w:val="19"/>
      <w:lang w:val="en-US" w:eastAsia="en-US"/>
    </w:rPr>
  </w:style>
  <w:style w:type="paragraph" w:styleId="ListParagraph">
    <w:name w:val="List Paragraph"/>
    <w:basedOn w:val="Normal"/>
    <w:uiPriority w:val="34"/>
    <w:qFormat/>
    <w:rsid w:val="00AC4B6E"/>
    <w:pPr>
      <w:ind w:left="720"/>
      <w:contextualSpacing/>
    </w:pPr>
  </w:style>
  <w:style w:type="character" w:styleId="Hyperlink">
    <w:name w:val="Hyperlink"/>
    <w:uiPriority w:val="99"/>
    <w:unhideWhenUsed/>
    <w:rsid w:val="003B065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Attachments/Principles.PDF"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SharePoint\Word%20Templates%20-%20Documents\DPC\Cabinet%20Submission%20-%20Attachmen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A2DE67D7649D44BCBFB1FAB7B40999" ma:contentTypeVersion="0" ma:contentTypeDescription="Create a new document." ma:contentTypeScope="" ma:versionID="cc3392f2e36a357eb8e0964393a12d1b">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A82BBB-CDAB-4A80-AB56-C1504A0AC1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860BA1-DBA4-4F8D-A28A-6E628886B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51F1B1D-A6D3-4A47-8094-220E4BC07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Cabinet Submission - Attachment - Proactive Release Summary.dotx</Template>
  <TotalTime>0</TotalTime>
  <Pages>1</Pages>
  <Words>240</Words>
  <Characters>1732</Characters>
  <Application>Microsoft Office Word</Application>
  <DocSecurity>0</DocSecurity>
  <Lines>26</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1969</CharactersWithSpaces>
  <SharedDoc>false</SharedDoc>
  <HyperlinkBase>https://www.cabinet.qld.gov.au/documents/2015/Apr/IntergovPrinciples/</HyperlinkBase>
  <HLinks>
    <vt:vector size="6" baseType="variant">
      <vt:variant>
        <vt:i4>4128803</vt:i4>
      </vt:variant>
      <vt:variant>
        <vt:i4>0</vt:i4>
      </vt:variant>
      <vt:variant>
        <vt:i4>0</vt:i4>
      </vt:variant>
      <vt:variant>
        <vt:i4>5</vt:i4>
      </vt:variant>
      <vt:variant>
        <vt:lpwstr>Attachments/Principles.PDF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2015-06-24T00:27:00Z</cp:lastPrinted>
  <dcterms:created xsi:type="dcterms:W3CDTF">2017-10-25T01:31:00Z</dcterms:created>
  <dcterms:modified xsi:type="dcterms:W3CDTF">2018-03-06T01:27:00Z</dcterms:modified>
  <cp:category>Intergovernmental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ies>
</file>